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F924FC" w:rsidRDefault="00637BED" w:rsidP="006857DF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</w:t>
      </w:r>
      <w:r w:rsidR="006857DF">
        <w:rPr>
          <w:sz w:val="40"/>
          <w:szCs w:val="40"/>
        </w:rPr>
        <w:t xml:space="preserve"> </w:t>
      </w:r>
      <w:r w:rsidR="0095229F">
        <w:rPr>
          <w:sz w:val="40"/>
          <w:szCs w:val="40"/>
        </w:rPr>
        <w:t>модул</w:t>
      </w:r>
      <w:r>
        <w:rPr>
          <w:sz w:val="40"/>
          <w:szCs w:val="40"/>
        </w:rPr>
        <w:t>я</w:t>
      </w:r>
      <w:r w:rsidR="0095229F">
        <w:rPr>
          <w:sz w:val="40"/>
          <w:szCs w:val="40"/>
        </w:rPr>
        <w:t xml:space="preserve"> «</w:t>
      </w:r>
      <w:r w:rsidR="00DA2FA2">
        <w:rPr>
          <w:sz w:val="40"/>
          <w:szCs w:val="40"/>
        </w:rPr>
        <w:t>Интернет-магазин + 1С</w:t>
      </w:r>
      <w:r w:rsidR="0095229F">
        <w:rPr>
          <w:sz w:val="40"/>
          <w:szCs w:val="40"/>
        </w:rPr>
        <w:t>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32495994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1С:Предприятие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47619" cy="25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01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02873" cy="170579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19" cy="17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246948" cy="19798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20" cy="19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6686" cy="3626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94" cy="3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4398" cy="236948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80" cy="23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4BEC0FA" wp14:editId="04FE1875">
            <wp:extent cx="4392801" cy="229645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01" cy="22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</w:t>
      </w:r>
      <w:r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F97ABB">
        <w:rPr>
          <w:rFonts w:asciiTheme="majorHAnsi" w:hAnsiTheme="majorHAnsi" w:cs="Helvetica"/>
          <w:color w:val="000000"/>
          <w:shd w:val="clear" w:color="auto" w:fill="FFFFFF"/>
        </w:rPr>
        <w:t>ОбменСБ24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\(конфигурация 1С).</w:t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12AAB" w:rsidRPr="00F97AB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4004290" cy="3208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75" cy="32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r w:rsidR="00183681">
        <w:rPr>
          <w:rFonts w:asciiTheme="majorHAnsi" w:hAnsiTheme="majorHAnsi" w:cs="Helvetica"/>
          <w:color w:val="000000"/>
          <w:shd w:val="clear" w:color="auto" w:fill="FFFFFF"/>
        </w:rPr>
        <w:t>Битрикс»</w:t>
      </w:r>
    </w:p>
    <w:p w:rsidR="00F97ABB" w:rsidRDefault="00183681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43742" cy="2753109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F5B63">
        <w:rPr>
          <w:rFonts w:asciiTheme="majorHAnsi" w:hAnsiTheme="majorHAnsi" w:cs="Helvetica"/>
          <w:b/>
          <w:color w:val="000000"/>
          <w:shd w:val="clear" w:color="auto" w:fill="FFFFFF"/>
        </w:rPr>
        <w:t>Также необходимо включить  подсистему «Битрикс»: "Конфигурация"  -  "Общие" – "Подсистемы"  – "Битрикс".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4219430" cy="24649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02" cy="24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1F4C1A5" wp14:editId="45B59EF3">
            <wp:extent cx="5072933" cy="36418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34" cy="36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4471852" cy="348743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55" cy="34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8BB5F40" wp14:editId="3741E04F">
            <wp:extent cx="5031234" cy="13149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13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5470A2B" wp14:editId="415DFACC">
            <wp:extent cx="4259397" cy="2601376"/>
            <wp:effectExtent l="0" t="0" r="8255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397" cy="26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5F0388" w:rsidRDefault="00440FA4" w:rsidP="00637B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БУС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</w:p>
    <w:p w:rsidR="005F0388" w:rsidRDefault="005F0388">
      <w:pPr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br w:type="page"/>
      </w:r>
    </w:p>
    <w:p w:rsidR="009E3A42" w:rsidRDefault="009E3A42" w:rsidP="009E3A4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ТОЛЬКО ДЛЯ РОССИЙСКИХ КОНФИГУРАЦИЙ</w:t>
      </w:r>
    </w:p>
    <w:p w:rsidR="005F0388" w:rsidRDefault="005F0388" w:rsidP="005F0388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необходим функционал печати чеков по данным с сайта, то необходимо доработать </w:t>
      </w:r>
      <w:r w:rsidR="00C364C2">
        <w:rPr>
          <w:rFonts w:asciiTheme="majorHAnsi" w:hAnsiTheme="majorHAnsi" w:cs="Helvetica"/>
          <w:color w:val="000000"/>
          <w:shd w:val="clear" w:color="auto" w:fill="FFFFFF"/>
        </w:rPr>
        <w:t xml:space="preserve">объект </w:t>
      </w:r>
      <w:r>
        <w:rPr>
          <w:rFonts w:asciiTheme="majorHAnsi" w:hAnsiTheme="majorHAnsi" w:cs="Helvetica"/>
          <w:color w:val="000000"/>
          <w:shd w:val="clear" w:color="auto" w:fill="FFFFFF"/>
        </w:rPr>
        <w:t>типов</w:t>
      </w:r>
      <w:r w:rsidR="00C364C2">
        <w:rPr>
          <w:rFonts w:asciiTheme="majorHAnsi" w:hAnsiTheme="majorHAnsi" w:cs="Helvetica"/>
          <w:color w:val="000000"/>
          <w:shd w:val="clear" w:color="auto" w:fill="FFFFFF"/>
        </w:rPr>
        <w:t>ой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конфигураци</w:t>
      </w:r>
      <w:r w:rsidR="00C364C2">
        <w:rPr>
          <w:rFonts w:asciiTheme="majorHAnsi" w:hAnsiTheme="majorHAnsi" w:cs="Helvetica"/>
          <w:color w:val="000000"/>
          <w:shd w:val="clear" w:color="auto" w:fill="FFFFFF"/>
        </w:rPr>
        <w:t>и «Модуль управляемого приложения»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5F0388" w:rsidRPr="005F0388" w:rsidRDefault="005F0388" w:rsidP="005F0388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режиме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конфигуратора развернуть дерево конфигурации</w:t>
      </w:r>
    </w:p>
    <w:p w:rsidR="005F0388" w:rsidRDefault="005F0388" w:rsidP="005F0388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5F0388" w:rsidRDefault="005F0388" w:rsidP="005F0388">
      <w:pPr>
        <w:pStyle w:val="a3"/>
        <w:tabs>
          <w:tab w:val="left" w:pos="1134"/>
        </w:tabs>
        <w:ind w:left="709"/>
        <w:jc w:val="center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3037399" cy="3252282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69" cy="325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88" w:rsidRDefault="005F0388" w:rsidP="005F0388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Выбрать узел «Управление торговлей», нажать на правую кнопку  мыши и выбрать пункт</w:t>
      </w:r>
      <w:r w:rsidR="00C364C2">
        <w:rPr>
          <w:rFonts w:asciiTheme="majorHAnsi" w:hAnsiTheme="majorHAnsi" w:cs="Helvetica"/>
          <w:color w:val="000000"/>
          <w:shd w:val="clear" w:color="auto" w:fill="FFFFFF"/>
        </w:rPr>
        <w:t xml:space="preserve"> «Открыть модуль управляемого приложения».</w:t>
      </w:r>
    </w:p>
    <w:p w:rsidR="005F0388" w:rsidRDefault="005F0388" w:rsidP="005F0388">
      <w:pPr>
        <w:tabs>
          <w:tab w:val="left" w:pos="1134"/>
        </w:tabs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918699" cy="2830664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29" cy="282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88" w:rsidRPr="005F0388" w:rsidRDefault="005F0388" w:rsidP="005F0388">
      <w:p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8B7DBB" w:rsidRDefault="008B7DBB" w:rsidP="008B7DBB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Находим процедуру «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ПриНачалеРаботыСистемы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()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» </w:t>
      </w:r>
    </w:p>
    <w:p w:rsidR="008B7DBB" w:rsidRDefault="008B7DBB" w:rsidP="008B7DBB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bookmarkStart w:id="1" w:name="_GoBack"/>
      <w:bookmarkEnd w:id="1"/>
    </w:p>
    <w:p w:rsidR="008B7DBB" w:rsidRPr="009B6A8C" w:rsidRDefault="008B7DBB" w:rsidP="008B7DBB">
      <w:pPr>
        <w:pStyle w:val="a3"/>
        <w:tabs>
          <w:tab w:val="left" w:pos="1560"/>
        </w:tabs>
        <w:ind w:left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 xml:space="preserve">Если конфигурация 1С – </w:t>
      </w:r>
      <w:r>
        <w:rPr>
          <w:rFonts w:asciiTheme="majorHAnsi" w:hAnsiTheme="majorHAnsi" w:cs="Helvetica"/>
          <w:b/>
          <w:color w:val="000000"/>
          <w:shd w:val="clear" w:color="auto" w:fill="FFFFFF"/>
        </w:rPr>
        <w:t>УТ</w:t>
      </w:r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 xml:space="preserve">, </w:t>
      </w:r>
      <w:r w:rsidRPr="009B6A8C">
        <w:rPr>
          <w:rFonts w:asciiTheme="majorHAnsi" w:hAnsiTheme="majorHAnsi" w:cs="Helvetica"/>
          <w:b/>
          <w:color w:val="000000"/>
          <w:shd w:val="clear" w:color="auto" w:fill="FFFFFF"/>
          <w:lang w:val="en-US"/>
        </w:rPr>
        <w:t>ERP</w:t>
      </w:r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 xml:space="preserve"> 2 или КА 2, то добавляем в конец 3 строки:</w:t>
      </w:r>
    </w:p>
    <w:p w:rsidR="008B7DBB" w:rsidRDefault="008B7DBB" w:rsidP="008B7DBB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8B7DBB" w:rsidRPr="00C364C2" w:rsidRDefault="008B7DBB" w:rsidP="008B7DBB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lastRenderedPageBreak/>
        <w:tab/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Если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Б_ПечатьЧековСервер</w:t>
      </w:r>
      <w:proofErr w:type="gramStart"/>
      <w:r w:rsidRPr="00C364C2">
        <w:rPr>
          <w:rFonts w:asciiTheme="majorHAnsi" w:hAnsiTheme="majorHAnsi" w:cs="Helvetica"/>
          <w:color w:val="FF0000"/>
          <w:shd w:val="clear" w:color="auto" w:fill="FFFFFF"/>
        </w:rPr>
        <w:t>.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Э</w:t>
      </w:r>
      <w:proofErr w:type="gramEnd"/>
      <w:r w:rsidRPr="00C364C2">
        <w:rPr>
          <w:rFonts w:asciiTheme="majorHAnsi" w:hAnsiTheme="majorHAnsi" w:cs="Helvetica"/>
          <w:color w:val="0066FF"/>
          <w:shd w:val="clear" w:color="auto" w:fill="FFFFFF"/>
        </w:rPr>
        <w:t>тоНужноеРабочееМесто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()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тогда </w:t>
      </w:r>
    </w:p>
    <w:p w:rsidR="008B7DBB" w:rsidRPr="00C364C2" w:rsidRDefault="008B7DBB" w:rsidP="008B7DBB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ПодключитьОбработчикОжидани</w:t>
      </w:r>
      <w:proofErr w:type="gramStart"/>
      <w:r w:rsidRPr="00C364C2">
        <w:rPr>
          <w:rFonts w:asciiTheme="majorHAnsi" w:hAnsiTheme="majorHAnsi" w:cs="Helvetica"/>
          <w:color w:val="0066FF"/>
          <w:shd w:val="clear" w:color="auto" w:fill="FFFFFF"/>
        </w:rPr>
        <w:t>я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БитриксПроверкаЧеков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,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="Helvetica"/>
          <w:color w:val="000000"/>
          <w:shd w:val="clear" w:color="auto" w:fill="FFFFFF"/>
        </w:rPr>
        <w:t>30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>0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);</w:t>
      </w:r>
    </w:p>
    <w:p w:rsidR="008B7DBB" w:rsidRDefault="008B7DBB" w:rsidP="008B7DBB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FF0000"/>
          <w:shd w:val="clear" w:color="auto" w:fill="FFFFFF"/>
        </w:rPr>
        <w:t>КонецЕсли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;</w:t>
      </w:r>
    </w:p>
    <w:p w:rsidR="008B7DBB" w:rsidRDefault="008B7DBB" w:rsidP="008B7DBB">
      <w:pPr>
        <w:tabs>
          <w:tab w:val="left" w:pos="1134"/>
        </w:tabs>
        <w:jc w:val="center"/>
        <w:rPr>
          <w:rFonts w:asciiTheme="majorHAnsi" w:hAnsiTheme="majorHAnsi" w:cs="Helvetica"/>
          <w:color w:val="000000"/>
          <w:shd w:val="clear" w:color="auto" w:fill="FFFFFF"/>
          <w:lang w:val="en-US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F27CB8F" wp14:editId="64B912ED">
            <wp:extent cx="3331596" cy="1665798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45" cy="166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BB" w:rsidRPr="009B6A8C" w:rsidRDefault="008B7DBB" w:rsidP="008B7DBB">
      <w:pPr>
        <w:tabs>
          <w:tab w:val="left" w:pos="1276"/>
        </w:tabs>
        <w:rPr>
          <w:rFonts w:asciiTheme="majorHAnsi" w:hAnsiTheme="majorHAnsi" w:cs="Helvetica"/>
          <w:b/>
          <w:color w:val="000000"/>
          <w:shd w:val="clear" w:color="auto" w:fill="FFFFFF"/>
        </w:rPr>
      </w:pPr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>Если модуль УНФ</w:t>
      </w:r>
      <w:proofErr w:type="gramStart"/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 xml:space="preserve"> ,</w:t>
      </w:r>
      <w:proofErr w:type="gramEnd"/>
      <w:r w:rsidRPr="009B6A8C">
        <w:rPr>
          <w:rFonts w:asciiTheme="majorHAnsi" w:hAnsiTheme="majorHAnsi" w:cs="Helvetica"/>
          <w:b/>
          <w:color w:val="000000"/>
          <w:shd w:val="clear" w:color="auto" w:fill="FFFFFF"/>
        </w:rPr>
        <w:t xml:space="preserve"> то добавляем в конец 1 строку</w:t>
      </w:r>
    </w:p>
    <w:p w:rsidR="008B7DBB" w:rsidRPr="009B6A8C" w:rsidRDefault="008B7DBB" w:rsidP="008B7DBB">
      <w:pPr>
        <w:tabs>
          <w:tab w:val="left" w:pos="1134"/>
        </w:tabs>
        <w:ind w:left="1134"/>
        <w:rPr>
          <w:rFonts w:asciiTheme="majorHAnsi" w:hAnsiTheme="majorHAnsi" w:cs="Helvetica"/>
          <w:color w:val="000000"/>
          <w:shd w:val="clear" w:color="auto" w:fill="FFFFFF"/>
        </w:rPr>
      </w:pP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ПодключитьОбработчикОжидани</w:t>
      </w:r>
      <w:proofErr w:type="gramStart"/>
      <w:r w:rsidRPr="00C364C2">
        <w:rPr>
          <w:rFonts w:asciiTheme="majorHAnsi" w:hAnsiTheme="majorHAnsi" w:cs="Helvetica"/>
          <w:color w:val="0066FF"/>
          <w:shd w:val="clear" w:color="auto" w:fill="FFFFFF"/>
        </w:rPr>
        <w:t>я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БитриксПроверкаЧеков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,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="Helvetica"/>
          <w:color w:val="000000"/>
          <w:shd w:val="clear" w:color="auto" w:fill="FFFFFF"/>
        </w:rPr>
        <w:t>30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>0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);</w:t>
      </w:r>
    </w:p>
    <w:p w:rsidR="008B7DBB" w:rsidRDefault="008B7DBB" w:rsidP="008B7DBB">
      <w:pPr>
        <w:pStyle w:val="a3"/>
        <w:numPr>
          <w:ilvl w:val="0"/>
          <w:numId w:val="25"/>
        </w:numPr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Добавляем процедуру «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БитриксПроверкаЧеков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()</w:t>
      </w:r>
      <w:r>
        <w:rPr>
          <w:rFonts w:asciiTheme="majorHAnsi" w:hAnsiTheme="majorHAnsi" w:cs="Helvetica"/>
          <w:color w:val="000000"/>
          <w:shd w:val="clear" w:color="auto" w:fill="FFFFFF"/>
        </w:rPr>
        <w:t>»</w:t>
      </w:r>
    </w:p>
    <w:p w:rsidR="008B7DBB" w:rsidRDefault="008B7DBB" w:rsidP="008B7DB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8B7DBB" w:rsidRPr="00C364C2" w:rsidRDefault="008B7DBB" w:rsidP="008B7DBB">
      <w:pPr>
        <w:tabs>
          <w:tab w:val="left" w:pos="1134"/>
        </w:tabs>
        <w:spacing w:after="0"/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Процедура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БитриксПроверкаЧеко</w:t>
      </w:r>
      <w:proofErr w:type="gram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FF0000"/>
          <w:shd w:val="clear" w:color="auto" w:fill="FFFFFF"/>
        </w:rPr>
        <w:t>)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Экспорт</w:t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лКоличествоДоков</w:t>
      </w:r>
      <w:proofErr w:type="spellEnd"/>
      <w:r w:rsidRPr="00C364C2">
        <w:rPr>
          <w:rFonts w:asciiTheme="majorHAnsi" w:hAnsiTheme="majorHAnsi" w:cs="Helvetica"/>
          <w:color w:val="0066FF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=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Б_ПечатьЧековСервер</w:t>
      </w:r>
      <w:proofErr w:type="gramStart"/>
      <w:r w:rsidRPr="00C364C2">
        <w:rPr>
          <w:rFonts w:asciiTheme="majorHAnsi" w:hAnsiTheme="majorHAnsi" w:cs="Helvetica"/>
          <w:color w:val="FF0000"/>
          <w:shd w:val="clear" w:color="auto" w:fill="FFFFFF"/>
        </w:rPr>
        <w:t>.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К</w:t>
      </w:r>
      <w:proofErr w:type="gramEnd"/>
      <w:r w:rsidRPr="00C364C2">
        <w:rPr>
          <w:rFonts w:asciiTheme="majorHAnsi" w:hAnsiTheme="majorHAnsi" w:cs="Helvetica"/>
          <w:color w:val="0066FF"/>
          <w:shd w:val="clear" w:color="auto" w:fill="FFFFFF"/>
        </w:rPr>
        <w:t>оличествоДокументовДляЧеков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();</w:t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Если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лКоличествоДоков</w:t>
      </w:r>
      <w:proofErr w:type="spellEnd"/>
      <w:r w:rsidRPr="00C364C2">
        <w:rPr>
          <w:rFonts w:asciiTheme="majorHAnsi" w:hAnsiTheme="majorHAnsi" w:cs="Helvetica"/>
          <w:color w:val="0066FF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&gt;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0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тогда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Б_ПечатьЧековКлиент</w:t>
      </w:r>
      <w:proofErr w:type="gramStart"/>
      <w:r w:rsidRPr="00C364C2">
        <w:rPr>
          <w:rFonts w:asciiTheme="majorHAnsi" w:hAnsiTheme="majorHAnsi" w:cs="Helvetica"/>
          <w:color w:val="FF0000"/>
          <w:shd w:val="clear" w:color="auto" w:fill="FFFFFF"/>
        </w:rPr>
        <w:t>.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П</w:t>
      </w:r>
      <w:proofErr w:type="gramEnd"/>
      <w:r w:rsidRPr="00C364C2">
        <w:rPr>
          <w:rFonts w:asciiTheme="majorHAnsi" w:hAnsiTheme="majorHAnsi" w:cs="Helvetica"/>
          <w:color w:val="0066FF"/>
          <w:shd w:val="clear" w:color="auto" w:fill="FFFFFF"/>
        </w:rPr>
        <w:t>ечатьЧеков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();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FF0000"/>
          <w:shd w:val="clear" w:color="auto" w:fill="FFFFFF"/>
        </w:rPr>
        <w:t>КонецЕсли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;</w:t>
      </w:r>
    </w:p>
    <w:p w:rsidR="008B7DBB" w:rsidRPr="00C364C2" w:rsidRDefault="008B7DBB" w:rsidP="008B7DBB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</w:t>
      </w:r>
    </w:p>
    <w:p w:rsidR="008B7DBB" w:rsidRPr="00C364C2" w:rsidRDefault="008B7DBB" w:rsidP="008B7DBB">
      <w:pPr>
        <w:tabs>
          <w:tab w:val="left" w:pos="1134"/>
        </w:tabs>
        <w:spacing w:after="0"/>
        <w:ind w:left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proofErr w:type="spellStart"/>
      <w:r w:rsidRPr="00C364C2">
        <w:rPr>
          <w:rFonts w:asciiTheme="majorHAnsi" w:hAnsiTheme="majorHAnsi" w:cs="Helvetica"/>
          <w:color w:val="FF0000"/>
          <w:shd w:val="clear" w:color="auto" w:fill="FFFFFF"/>
        </w:rPr>
        <w:t>КонецПроцедуры</w:t>
      </w:r>
      <w:proofErr w:type="spellEnd"/>
    </w:p>
    <w:p w:rsidR="008B7DBB" w:rsidRDefault="008B7DBB" w:rsidP="008B7DB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8B7DBB" w:rsidRDefault="008B7DBB" w:rsidP="008B7DB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C364C2" w:rsidRPr="00C364C2" w:rsidRDefault="008B7DBB" w:rsidP="008B7DB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C364C2">
        <w:rPr>
          <w:rFonts w:asciiTheme="majorHAnsi" w:hAnsiTheme="majorHAnsi" w:cs="Helvetica"/>
          <w:b/>
          <w:color w:val="FF0000"/>
          <w:shd w:val="clear" w:color="auto" w:fill="FFFFFF"/>
        </w:rPr>
        <w:t>При обновлении конфигураций 1С нужно следить, чтобы обновление 1С не затерло это изменение.</w:t>
      </w:r>
    </w:p>
    <w:sectPr w:rsidR="00C364C2" w:rsidRPr="00C3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489"/>
    <w:multiLevelType w:val="hybridMultilevel"/>
    <w:tmpl w:val="3D983B96"/>
    <w:lvl w:ilvl="0" w:tplc="B654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AF58CE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00637"/>
    <w:multiLevelType w:val="hybridMultilevel"/>
    <w:tmpl w:val="3D983B96"/>
    <w:lvl w:ilvl="0" w:tplc="B654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25"/>
  </w:num>
  <w:num w:numId="12">
    <w:abstractNumId w:val="17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  <w:num w:numId="23">
    <w:abstractNumId w:val="18"/>
  </w:num>
  <w:num w:numId="24">
    <w:abstractNumId w:val="22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55645"/>
    <w:rsid w:val="00166512"/>
    <w:rsid w:val="00183681"/>
    <w:rsid w:val="00194384"/>
    <w:rsid w:val="001D69B6"/>
    <w:rsid w:val="001E1FD1"/>
    <w:rsid w:val="00230748"/>
    <w:rsid w:val="0023451E"/>
    <w:rsid w:val="002842E7"/>
    <w:rsid w:val="002B46C4"/>
    <w:rsid w:val="00322E4C"/>
    <w:rsid w:val="00374564"/>
    <w:rsid w:val="00391D46"/>
    <w:rsid w:val="00440FA4"/>
    <w:rsid w:val="004863F3"/>
    <w:rsid w:val="004F5758"/>
    <w:rsid w:val="005B17C3"/>
    <w:rsid w:val="005F0388"/>
    <w:rsid w:val="00634A41"/>
    <w:rsid w:val="00637BED"/>
    <w:rsid w:val="0065705C"/>
    <w:rsid w:val="006857DF"/>
    <w:rsid w:val="006B7DE7"/>
    <w:rsid w:val="006D5ABA"/>
    <w:rsid w:val="007A7971"/>
    <w:rsid w:val="007E3422"/>
    <w:rsid w:val="00810B36"/>
    <w:rsid w:val="00855AA4"/>
    <w:rsid w:val="008814CE"/>
    <w:rsid w:val="008B198C"/>
    <w:rsid w:val="008B7DBB"/>
    <w:rsid w:val="008E757B"/>
    <w:rsid w:val="00922813"/>
    <w:rsid w:val="0095229F"/>
    <w:rsid w:val="00994BFB"/>
    <w:rsid w:val="009E3A42"/>
    <w:rsid w:val="00A15BEE"/>
    <w:rsid w:val="00A544F6"/>
    <w:rsid w:val="00AE4FB7"/>
    <w:rsid w:val="00BF671C"/>
    <w:rsid w:val="00C364C2"/>
    <w:rsid w:val="00C45FCD"/>
    <w:rsid w:val="00C663D1"/>
    <w:rsid w:val="00CA3052"/>
    <w:rsid w:val="00CD7DEF"/>
    <w:rsid w:val="00D12AAB"/>
    <w:rsid w:val="00DA2FA2"/>
    <w:rsid w:val="00E03CEC"/>
    <w:rsid w:val="00E317F8"/>
    <w:rsid w:val="00F8221F"/>
    <w:rsid w:val="00F924FC"/>
    <w:rsid w:val="00F97AB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B4D2-C218-419D-BCFB-752D09F0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25</cp:revision>
  <dcterms:created xsi:type="dcterms:W3CDTF">2015-04-10T12:05:00Z</dcterms:created>
  <dcterms:modified xsi:type="dcterms:W3CDTF">2017-08-09T08:46:00Z</dcterms:modified>
</cp:coreProperties>
</file>